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6A2CE2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Irrigation Diagnostic Study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</w:t>
            </w:r>
            <w:proofErr w:type="spellStart"/>
            <w:r>
              <w:rPr>
                <w:b/>
                <w:bCs/>
                <w:sz w:val="22"/>
                <w:szCs w:val="22"/>
              </w:rPr>
              <w:t>Bott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E. </w:t>
            </w:r>
            <w:proofErr w:type="spellStart"/>
            <w:r>
              <w:rPr>
                <w:b/>
                <w:bCs/>
                <w:sz w:val="22"/>
                <w:szCs w:val="22"/>
              </w:rPr>
              <w:t>Jouve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,  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Harmond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M. Schiele, C. </w:t>
            </w:r>
            <w:proofErr w:type="spellStart"/>
            <w:r>
              <w:rPr>
                <w:b/>
                <w:bCs/>
                <w:sz w:val="22"/>
                <w:szCs w:val="22"/>
              </w:rPr>
              <w:t>Cablanya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Ounla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Pany, </w:t>
            </w:r>
            <w:proofErr w:type="spellStart"/>
            <w:r>
              <w:rPr>
                <w:b/>
                <w:bCs/>
                <w:sz w:val="22"/>
                <w:szCs w:val="22"/>
              </w:rPr>
              <w:t>Khambai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Panomphone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bCs/>
                <w:sz w:val="22"/>
                <w:szCs w:val="22"/>
              </w:rPr>
              <w:t>and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admin support staff.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Ministry of Agriculture and Forestry, PCADR Unit, supported by </w:t>
            </w:r>
            <w:proofErr w:type="spellStart"/>
            <w:r>
              <w:rPr>
                <w:b/>
                <w:bCs/>
                <w:sz w:val="22"/>
                <w:szCs w:val="22"/>
              </w:rPr>
              <w:t>AfD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No.of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 2009 – Jan 2009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6A2CE2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A. T. </w:t>
            </w:r>
            <w:proofErr w:type="spellStart"/>
            <w:r>
              <w:rPr>
                <w:b/>
                <w:bCs/>
                <w:sz w:val="22"/>
                <w:szCs w:val="22"/>
              </w:rPr>
              <w:t>Bott</w:t>
            </w:r>
            <w:proofErr w:type="spellEnd"/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>
              <w:rPr>
                <w:b/>
                <w:bCs/>
                <w:sz w:val="22"/>
                <w:szCs w:val="22"/>
              </w:rPr>
              <w:t>Jouve</w:t>
            </w:r>
            <w:proofErr w:type="spellEnd"/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USD $166,000</w:t>
            </w:r>
          </w:p>
        </w:tc>
      </w:tr>
      <w:tr w:rsidR="006A2CE2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6A2CE2" w:rsidTr="00C85B3C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Diagnostic` study of irrigation sector performance.</w:t>
            </w:r>
          </w:p>
        </w:tc>
      </w:tr>
      <w:tr w:rsidR="006A2CE2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</w:p>
          <w:p w:rsidR="006A2CE2" w:rsidRDefault="006A2CE2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6A2CE2" w:rsidTr="00C85B3C">
        <w:trPr>
          <w:trHeight w:val="1086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A2CE2" w:rsidRDefault="006A2CE2" w:rsidP="00C85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Identify and review in detail 20 irrigation schemes representative of national sector. Undertake field enquiries and visits to obtain performance, organizational and financial data. </w:t>
            </w:r>
            <w:proofErr w:type="spellStart"/>
            <w:r>
              <w:rPr>
                <w:bCs/>
                <w:sz w:val="22"/>
                <w:szCs w:val="22"/>
              </w:rPr>
              <w:t>Analyze</w:t>
            </w:r>
            <w:proofErr w:type="spellEnd"/>
            <w:r>
              <w:rPr>
                <w:bCs/>
                <w:sz w:val="22"/>
                <w:szCs w:val="22"/>
              </w:rPr>
              <w:t xml:space="preserve"> sector and prepare an irrigation development road map. 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2"/>
    <w:rsid w:val="00575DAC"/>
    <w:rsid w:val="006A2CE2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AE46A-683D-424C-8806-BC2424D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2017-06-03T07:48:00Z</dcterms:created>
  <dcterms:modified xsi:type="dcterms:W3CDTF">2017-06-03T07:49:00Z</dcterms:modified>
</cp:coreProperties>
</file>